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035"/>
        <w:gridCol w:w="2268"/>
      </w:tblGrid>
      <w:tr w:rsidR="00A26FCC" w:rsidRPr="00E57933" w:rsidTr="00A400D7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6FCC" w:rsidRPr="00E57933" w:rsidRDefault="00A26FCC" w:rsidP="007018F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:rsidR="00A26FCC" w:rsidRPr="00E57933" w:rsidRDefault="00A26FCC" w:rsidP="007018F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>
              <w:rPr>
                <w:rFonts w:ascii="Tahoma" w:hAnsi="Tahoma" w:cs="Tahoma"/>
                <w:noProof/>
                <w:color w:val="000080"/>
                <w:sz w:val="6"/>
                <w:szCs w:val="6"/>
                <w:lang w:eastAsia="sk-SK"/>
              </w:rPr>
              <w:drawing>
                <wp:inline distT="0" distB="0" distL="0" distR="0">
                  <wp:extent cx="845185" cy="793750"/>
                  <wp:effectExtent l="1905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</w:tcPr>
          <w:p w:rsidR="00A26FCC" w:rsidRPr="00E57933" w:rsidRDefault="00A26FCC" w:rsidP="007018F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A26FCC" w:rsidRPr="00E57933" w:rsidRDefault="00A26FCC" w:rsidP="007018F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hadow/>
                <w:sz w:val="42"/>
                <w:szCs w:val="42"/>
              </w:rPr>
            </w:pPr>
            <w:r w:rsidRPr="00E57933">
              <w:rPr>
                <w:rFonts w:ascii="Calibri" w:hAnsi="Calibri" w:cs="Calibri"/>
                <w:b/>
                <w:bCs/>
                <w:shadow/>
                <w:sz w:val="42"/>
                <w:szCs w:val="42"/>
              </w:rPr>
              <w:t>KLUBOVÝ LICENČNÝ SYSTÉM SFZ</w:t>
            </w:r>
          </w:p>
          <w:p w:rsidR="00A26FCC" w:rsidRPr="00E57933" w:rsidRDefault="008856CC" w:rsidP="007018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Licenčné konanie – právne</w:t>
            </w:r>
            <w:r w:rsidR="00A26FCC"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kritériá, verzia 111</w:t>
            </w:r>
            <w:r w:rsidR="00A26FCC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  <w:p w:rsidR="00A26FCC" w:rsidRPr="00E57933" w:rsidRDefault="00A26FCC" w:rsidP="007018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:rsidR="00A26FCC" w:rsidRPr="00A400D7" w:rsidRDefault="00A400D7" w:rsidP="007018F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</w:rPr>
            </w:pPr>
            <w:r w:rsidRPr="00A400D7">
              <w:rPr>
                <w:rFonts w:ascii="Calibri" w:hAnsi="Calibri" w:cs="Calibri"/>
                <w:b/>
              </w:rPr>
              <w:t xml:space="preserve">Potvrdenie </w:t>
            </w:r>
            <w:r w:rsidR="008856CC" w:rsidRPr="00A400D7">
              <w:rPr>
                <w:rFonts w:ascii="Calibri" w:hAnsi="Calibri" w:cs="Calibri"/>
                <w:b/>
              </w:rPr>
              <w:t>žiadateľa o udelenie licencie o </w:t>
            </w:r>
            <w:proofErr w:type="spellStart"/>
            <w:r w:rsidR="008856CC" w:rsidRPr="00A400D7">
              <w:rPr>
                <w:rFonts w:ascii="Calibri" w:hAnsi="Calibri" w:cs="Calibri"/>
                <w:b/>
              </w:rPr>
              <w:t>obdržaní</w:t>
            </w:r>
            <w:proofErr w:type="spellEnd"/>
            <w:r w:rsidR="008856CC" w:rsidRPr="00A400D7">
              <w:rPr>
                <w:rFonts w:ascii="Calibri" w:hAnsi="Calibri" w:cs="Calibri"/>
                <w:b/>
              </w:rPr>
              <w:t xml:space="preserve"> licenčnej dokumentácie</w:t>
            </w:r>
            <w:r w:rsidRPr="00A400D7">
              <w:rPr>
                <w:rFonts w:ascii="Calibri" w:hAnsi="Calibri" w:cs="Calibri"/>
                <w:b/>
              </w:rPr>
              <w:t xml:space="preserve"> – prihláška do licenčného </w:t>
            </w:r>
            <w:r>
              <w:rPr>
                <w:rFonts w:ascii="Calibri" w:hAnsi="Calibri" w:cs="Calibri"/>
                <w:b/>
              </w:rPr>
              <w:t>konania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FCC" w:rsidRPr="00E57933" w:rsidRDefault="00A26FCC" w:rsidP="007018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26FCC" w:rsidRPr="00E57933" w:rsidRDefault="00A26FCC" w:rsidP="007018F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264285" cy="659765"/>
                  <wp:effectExtent l="19050" t="0" r="0" b="0"/>
                  <wp:docPr id="2" name="obrázek 2" descr="S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FCC" w:rsidRDefault="00A26FCC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:rsidR="00A26FCC" w:rsidRDefault="00A26FCC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50"/>
          <w:szCs w:val="50"/>
        </w:rPr>
      </w:pPr>
    </w:p>
    <w:p w:rsidR="00A400D7" w:rsidRPr="005B36C2" w:rsidRDefault="008856CC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center"/>
        <w:rPr>
          <w:rFonts w:ascii="Arial Black" w:hAnsi="Arial Black" w:cs="Arial"/>
          <w:b/>
          <w:color w:val="FF0000"/>
          <w:sz w:val="26"/>
          <w:szCs w:val="26"/>
        </w:rPr>
      </w:pPr>
      <w:r w:rsidRPr="005B36C2">
        <w:rPr>
          <w:rFonts w:ascii="Arial Black" w:hAnsi="Arial Black" w:cs="Arial"/>
          <w:b/>
          <w:color w:val="FF0000"/>
          <w:sz w:val="26"/>
          <w:szCs w:val="26"/>
        </w:rPr>
        <w:t xml:space="preserve">Vyplnené a podpísané </w:t>
      </w:r>
      <w:r w:rsidR="005B36C2">
        <w:rPr>
          <w:rFonts w:ascii="Arial Black" w:hAnsi="Arial Black" w:cs="Arial"/>
          <w:b/>
          <w:color w:val="FF0000"/>
          <w:sz w:val="26"/>
          <w:szCs w:val="26"/>
        </w:rPr>
        <w:t>za</w:t>
      </w:r>
      <w:r w:rsidRPr="005B36C2">
        <w:rPr>
          <w:rFonts w:ascii="Arial Black" w:hAnsi="Arial Black" w:cs="Arial"/>
          <w:b/>
          <w:color w:val="FF0000"/>
          <w:sz w:val="26"/>
          <w:szCs w:val="26"/>
        </w:rPr>
        <w:t>šlite</w:t>
      </w:r>
      <w:r w:rsidR="00A400D7" w:rsidRPr="005B36C2">
        <w:rPr>
          <w:rFonts w:ascii="Arial Black" w:hAnsi="Arial Black" w:cs="Arial"/>
          <w:b/>
          <w:color w:val="FF0000"/>
          <w:sz w:val="26"/>
          <w:szCs w:val="26"/>
        </w:rPr>
        <w:t xml:space="preserve"> najneskôr 15. 12. 2017</w:t>
      </w:r>
    </w:p>
    <w:p w:rsidR="00A400D7" w:rsidRPr="005B36C2" w:rsidRDefault="00986328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center"/>
        <w:rPr>
          <w:rFonts w:ascii="Arial Black" w:hAnsi="Arial Black" w:cs="Arial"/>
          <w:b/>
          <w:color w:val="FF0000"/>
          <w:sz w:val="26"/>
          <w:szCs w:val="26"/>
        </w:rPr>
      </w:pPr>
      <w:r w:rsidRPr="005B36C2">
        <w:rPr>
          <w:rFonts w:ascii="Arial Black" w:hAnsi="Arial Black" w:cs="Arial"/>
          <w:b/>
          <w:color w:val="FF0000"/>
          <w:sz w:val="26"/>
          <w:szCs w:val="26"/>
        </w:rPr>
        <w:t xml:space="preserve">doporučenou poštou </w:t>
      </w:r>
      <w:r w:rsidR="00A400D7" w:rsidRPr="005B36C2">
        <w:rPr>
          <w:rFonts w:ascii="Arial Black" w:hAnsi="Arial Black" w:cs="Arial"/>
          <w:b/>
          <w:color w:val="FF0000"/>
          <w:sz w:val="26"/>
          <w:szCs w:val="26"/>
        </w:rPr>
        <w:t>licenčnej komisii  SFZ</w:t>
      </w:r>
    </w:p>
    <w:p w:rsidR="008856CC" w:rsidRDefault="008856CC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both"/>
        <w:rPr>
          <w:rFonts w:ascii="Arial" w:hAnsi="Arial" w:cs="Arial"/>
        </w:rPr>
      </w:pPr>
    </w:p>
    <w:p w:rsidR="008856CC" w:rsidRDefault="008856CC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both"/>
        <w:rPr>
          <w:rFonts w:ascii="Arial" w:hAnsi="Arial" w:cs="Arial"/>
        </w:rPr>
      </w:pPr>
    </w:p>
    <w:p w:rsidR="00986328" w:rsidRDefault="008856CC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Futbalový klub</w:t>
      </w:r>
      <w:r w:rsidR="00986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Start w:id="0" w:edGrp="everyone"/>
      <w:r w:rsidR="0026374C">
        <w:rPr>
          <w:rFonts w:ascii="Arial" w:hAnsi="Arial" w:cs="Arial"/>
        </w:rPr>
        <w:t xml:space="preserve"> </w:t>
      </w:r>
      <w:permEnd w:id="0"/>
    </w:p>
    <w:p w:rsidR="00A26FCC" w:rsidRPr="00986328" w:rsidRDefault="008856CC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týmto potvrdzuje doručenie dokumentácie zo Slovenského futbalového zväzu k licenčnému konaniu v súťažnom ročníku 2017/2018 </w:t>
      </w:r>
      <w:r w:rsidRPr="00986328">
        <w:rPr>
          <w:rFonts w:ascii="Arial" w:hAnsi="Arial" w:cs="Arial"/>
          <w:i/>
          <w:sz w:val="22"/>
          <w:szCs w:val="22"/>
        </w:rPr>
        <w:t>(udelenie licencie pre vstup do klubových súťaží UEFA a FORTUNA ligy súťažného ročníka 2018/2019).</w:t>
      </w:r>
    </w:p>
    <w:p w:rsidR="008856CC" w:rsidRDefault="008856CC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both"/>
        <w:rPr>
          <w:rFonts w:ascii="Arial" w:hAnsi="Arial" w:cs="Arial"/>
          <w:sz w:val="20"/>
          <w:szCs w:val="20"/>
        </w:rPr>
      </w:pPr>
    </w:p>
    <w:p w:rsidR="008856CC" w:rsidRDefault="008856CC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Súčasne potvrdzujeme, že </w:t>
      </w:r>
      <w:proofErr w:type="spellStart"/>
      <w:r>
        <w:rPr>
          <w:rFonts w:ascii="Arial" w:hAnsi="Arial" w:cs="Arial"/>
        </w:rPr>
        <w:t>obdržaná</w:t>
      </w:r>
      <w:proofErr w:type="spellEnd"/>
      <w:r>
        <w:rPr>
          <w:rFonts w:ascii="Arial" w:hAnsi="Arial" w:cs="Arial"/>
        </w:rPr>
        <w:t xml:space="preserve"> dokumentácia je v súlade s priloženým zoznamom kompletná a nepoškodená.</w:t>
      </w:r>
    </w:p>
    <w:p w:rsidR="008856CC" w:rsidRDefault="008856CC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both"/>
        <w:rPr>
          <w:rFonts w:ascii="Arial" w:hAnsi="Arial" w:cs="Arial"/>
        </w:rPr>
      </w:pPr>
    </w:p>
    <w:p w:rsidR="005B36C2" w:rsidRDefault="005B36C2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both"/>
        <w:rPr>
          <w:rFonts w:ascii="Arial" w:hAnsi="Arial" w:cs="Arial"/>
        </w:rPr>
      </w:pPr>
    </w:p>
    <w:p w:rsidR="008856CC" w:rsidRPr="008856CC" w:rsidRDefault="00EB0435" w:rsidP="008856CC">
      <w:pPr>
        <w:widowControl w:val="0"/>
        <w:autoSpaceDE w:val="0"/>
        <w:autoSpaceDN w:val="0"/>
        <w:adjustRightInd w:val="0"/>
        <w:spacing w:line="360" w:lineRule="auto"/>
        <w:ind w:left="180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ermStart w:id="1" w:edGrp="everyone"/>
      <w:r w:rsidR="0026374C">
        <w:rPr>
          <w:rFonts w:ascii="Arial" w:hAnsi="Arial" w:cs="Arial"/>
        </w:rPr>
        <w:t xml:space="preserve"> </w:t>
      </w:r>
      <w:permEnd w:id="1"/>
      <w:r>
        <w:rPr>
          <w:rFonts w:ascii="Arial" w:hAnsi="Arial" w:cs="Arial"/>
        </w:rPr>
        <w:t xml:space="preserve"> dňa </w:t>
      </w:r>
      <w:permStart w:id="2" w:edGrp="everyone"/>
      <w:r w:rsidR="0026374C">
        <w:rPr>
          <w:rFonts w:ascii="Arial" w:hAnsi="Arial" w:cs="Arial"/>
        </w:rPr>
        <w:t xml:space="preserve"> </w:t>
      </w:r>
      <w:permEnd w:id="2"/>
    </w:p>
    <w:p w:rsidR="00A26FCC" w:rsidRPr="000A7087" w:rsidRDefault="00A26FCC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96"/>
          <w:szCs w:val="96"/>
        </w:rPr>
      </w:pPr>
    </w:p>
    <w:p w:rsidR="00A26FCC" w:rsidRPr="000A7087" w:rsidRDefault="00A26FCC" w:rsidP="00A26FCC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b/>
          <w:sz w:val="12"/>
          <w:szCs w:val="12"/>
        </w:rPr>
      </w:pPr>
      <w:proofErr w:type="spellStart"/>
      <w:r w:rsidRPr="000A7087">
        <w:rPr>
          <w:rFonts w:ascii="Arial" w:hAnsi="Arial" w:cs="Arial"/>
        </w:rPr>
        <w:t>Razítko</w:t>
      </w:r>
      <w:proofErr w:type="spellEnd"/>
      <w:r w:rsidRPr="000A7087">
        <w:rPr>
          <w:rFonts w:ascii="Arial" w:hAnsi="Arial" w:cs="Arial"/>
        </w:rPr>
        <w:t xml:space="preserve"> klubu</w:t>
      </w:r>
      <w:r w:rsidRPr="000A7087">
        <w:rPr>
          <w:rFonts w:ascii="Arial" w:hAnsi="Arial" w:cs="Arial"/>
        </w:rPr>
        <w:tab/>
      </w:r>
      <w:r w:rsidRPr="000A7087">
        <w:rPr>
          <w:rFonts w:ascii="Arial" w:hAnsi="Arial" w:cs="Arial"/>
        </w:rPr>
        <w:tab/>
      </w:r>
      <w:r w:rsidRPr="000A7087">
        <w:rPr>
          <w:rFonts w:ascii="Arial" w:hAnsi="Arial" w:cs="Arial"/>
        </w:rPr>
        <w:tab/>
      </w:r>
      <w:r w:rsidRPr="000A7087">
        <w:rPr>
          <w:rFonts w:ascii="Arial" w:hAnsi="Arial" w:cs="Arial"/>
        </w:rPr>
        <w:tab/>
        <w:t>Za futbalový klub</w:t>
      </w:r>
      <w:r w:rsidR="00986328">
        <w:rPr>
          <w:rFonts w:asciiTheme="minorHAnsi" w:hAnsiTheme="minorHAnsi" w:cs="Arial"/>
        </w:rPr>
        <w:t>*</w:t>
      </w:r>
      <w:r w:rsidRPr="000A7087">
        <w:rPr>
          <w:rFonts w:ascii="Arial" w:hAnsi="Arial" w:cs="Arial"/>
        </w:rPr>
        <w:t xml:space="preserve"> </w:t>
      </w:r>
      <w:r w:rsidRPr="000A7087">
        <w:rPr>
          <w:rFonts w:ascii="Arial" w:hAnsi="Arial" w:cs="Arial"/>
        </w:rPr>
        <w:tab/>
      </w:r>
      <w:r w:rsidRPr="000A7087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A26FCC" w:rsidRPr="00DA0D0B" w:rsidRDefault="00A26FCC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90"/>
          <w:szCs w:val="90"/>
        </w:rPr>
      </w:pPr>
    </w:p>
    <w:p w:rsidR="00A26FCC" w:rsidRPr="000A7087" w:rsidRDefault="00A26FCC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  <w:sz w:val="12"/>
          <w:szCs w:val="12"/>
        </w:rPr>
        <w:t>______________________________________________________</w:t>
      </w:r>
    </w:p>
    <w:p w:rsidR="00A26FCC" w:rsidRPr="000A7087" w:rsidRDefault="00A26FCC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:rsidR="00A26FCC" w:rsidRDefault="00A26FCC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:rsidR="005B36C2" w:rsidRDefault="005B36C2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:rsidR="005B36C2" w:rsidRDefault="005B36C2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:rsidR="005B36C2" w:rsidRDefault="005B36C2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:rsidR="005B36C2" w:rsidRDefault="005B36C2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:rsidR="005B36C2" w:rsidRPr="005B36C2" w:rsidRDefault="005B36C2" w:rsidP="00A26F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26"/>
          <w:szCs w:val="26"/>
        </w:rPr>
      </w:pPr>
    </w:p>
    <w:p w:rsidR="00986328" w:rsidRDefault="00986328" w:rsidP="00986328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4"/>
          <w:szCs w:val="14"/>
        </w:rPr>
      </w:pPr>
    </w:p>
    <w:p w:rsidR="00986328" w:rsidRPr="005B36C2" w:rsidRDefault="00986328" w:rsidP="00986328">
      <w:pPr>
        <w:widowControl w:val="0"/>
        <w:autoSpaceDE w:val="0"/>
        <w:autoSpaceDN w:val="0"/>
        <w:adjustRightInd w:val="0"/>
        <w:ind w:right="-92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5B36C2">
        <w:rPr>
          <w:rFonts w:asciiTheme="minorHAnsi" w:hAnsiTheme="minorHAnsi" w:cs="Arial"/>
          <w:b/>
        </w:rPr>
        <w:t>*</w:t>
      </w:r>
      <w:r w:rsidR="005B36C2">
        <w:rPr>
          <w:rFonts w:asciiTheme="minorHAnsi" w:hAnsiTheme="minorHAnsi" w:cs="Arial"/>
          <w:b/>
          <w:color w:val="FF0000"/>
          <w:sz w:val="22"/>
          <w:szCs w:val="22"/>
        </w:rPr>
        <w:t>podpis/y štatutára/</w:t>
      </w:r>
      <w:proofErr w:type="spellStart"/>
      <w:r w:rsidR="005B36C2">
        <w:rPr>
          <w:rFonts w:asciiTheme="minorHAnsi" w:hAnsiTheme="minorHAnsi" w:cs="Arial"/>
          <w:b/>
          <w:color w:val="FF0000"/>
          <w:sz w:val="22"/>
          <w:szCs w:val="22"/>
        </w:rPr>
        <w:t>ov</w:t>
      </w:r>
      <w:proofErr w:type="spellEnd"/>
      <w:r w:rsidR="005B36C2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5B36C2">
        <w:rPr>
          <w:rFonts w:asciiTheme="minorHAnsi" w:hAnsiTheme="minorHAnsi" w:cs="Arial"/>
          <w:b/>
          <w:color w:val="FF0000"/>
          <w:sz w:val="22"/>
          <w:szCs w:val="22"/>
        </w:rPr>
        <w:t>klubu</w:t>
      </w:r>
      <w:r w:rsidR="005B36C2" w:rsidRPr="005B36C2">
        <w:rPr>
          <w:rFonts w:asciiTheme="minorHAnsi" w:hAnsiTheme="minorHAnsi" w:cs="Arial"/>
          <w:b/>
          <w:color w:val="FF0000"/>
          <w:sz w:val="22"/>
          <w:szCs w:val="22"/>
        </w:rPr>
        <w:t>, v súlade so spôsobom konania v mene spoločnosti, uvedenom v platnom Výpise z obchodného registra</w:t>
      </w:r>
      <w:r w:rsidR="005B36C2">
        <w:rPr>
          <w:rFonts w:asciiTheme="minorHAnsi" w:hAnsiTheme="minorHAnsi" w:cs="Arial"/>
          <w:b/>
          <w:color w:val="FF0000"/>
          <w:sz w:val="22"/>
          <w:szCs w:val="22"/>
        </w:rPr>
        <w:t xml:space="preserve"> !</w:t>
      </w:r>
    </w:p>
    <w:p w:rsidR="00A26FCC" w:rsidRPr="005B36C2" w:rsidRDefault="00A26FCC" w:rsidP="00A26FC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20"/>
          <w:szCs w:val="20"/>
        </w:rPr>
      </w:pPr>
    </w:p>
    <w:p w:rsidR="005D25F5" w:rsidRDefault="00986328" w:rsidP="00A26FCC">
      <w:pPr>
        <w:widowControl w:val="0"/>
        <w:autoSpaceDE w:val="0"/>
        <w:autoSpaceDN w:val="0"/>
        <w:adjustRightInd w:val="0"/>
        <w:ind w:right="-1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26FCC" w:rsidRPr="000A7087">
        <w:rPr>
          <w:rFonts w:ascii="Arial" w:hAnsi="Arial" w:cs="Arial"/>
          <w:b/>
          <w:sz w:val="20"/>
          <w:szCs w:val="20"/>
        </w:rPr>
        <w:t>SFZ</w:t>
      </w:r>
      <w:r w:rsidR="00A26FCC" w:rsidRPr="000A7087">
        <w:rPr>
          <w:rFonts w:ascii="Arial" w:hAnsi="Arial" w:cs="Arial"/>
          <w:b/>
          <w:sz w:val="20"/>
          <w:szCs w:val="20"/>
        </w:rPr>
        <w:tab/>
      </w:r>
      <w:r w:rsidR="00A26FCC" w:rsidRPr="000A7087"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="00A26FCC" w:rsidRPr="000A7087">
        <w:rPr>
          <w:rFonts w:ascii="Arial" w:hAnsi="Arial" w:cs="Arial"/>
          <w:b/>
          <w:sz w:val="20"/>
          <w:szCs w:val="20"/>
        </w:rPr>
        <w:tab/>
        <w:t xml:space="preserve">     </w:t>
      </w:r>
      <w:r w:rsidR="008856CC">
        <w:rPr>
          <w:rFonts w:ascii="Arial" w:hAnsi="Arial" w:cs="Arial"/>
          <w:b/>
          <w:sz w:val="20"/>
          <w:szCs w:val="20"/>
        </w:rPr>
        <w:t>PRIHLÁŠKA DO</w:t>
      </w:r>
      <w:r w:rsidR="00A26FCC">
        <w:rPr>
          <w:rFonts w:ascii="Arial" w:hAnsi="Arial" w:cs="Arial"/>
          <w:b/>
          <w:sz w:val="20"/>
          <w:szCs w:val="20"/>
        </w:rPr>
        <w:t xml:space="preserve"> </w:t>
      </w:r>
      <w:r w:rsidR="00A26FCC" w:rsidRPr="000A7087">
        <w:rPr>
          <w:rFonts w:ascii="Arial" w:hAnsi="Arial" w:cs="Arial"/>
          <w:b/>
          <w:sz w:val="20"/>
          <w:szCs w:val="20"/>
        </w:rPr>
        <w:t>LICENČNÉ</w:t>
      </w:r>
      <w:r w:rsidR="00A26FCC">
        <w:rPr>
          <w:rFonts w:ascii="Arial" w:hAnsi="Arial" w:cs="Arial"/>
          <w:b/>
          <w:sz w:val="20"/>
          <w:szCs w:val="20"/>
        </w:rPr>
        <w:t>HO KONANIA</w:t>
      </w:r>
      <w:r w:rsidR="00A26FCC" w:rsidRPr="000A7087">
        <w:rPr>
          <w:rFonts w:ascii="Arial" w:hAnsi="Arial" w:cs="Arial"/>
          <w:b/>
          <w:sz w:val="20"/>
          <w:szCs w:val="20"/>
        </w:rPr>
        <w:tab/>
      </w:r>
      <w:r w:rsidR="008856CC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8856CC">
        <w:rPr>
          <w:rFonts w:ascii="Arial" w:hAnsi="Arial" w:cs="Arial"/>
          <w:b/>
          <w:sz w:val="20"/>
          <w:szCs w:val="20"/>
        </w:rPr>
        <w:tab/>
        <w:t xml:space="preserve">         s</w:t>
      </w:r>
      <w:r w:rsidR="00A26FCC" w:rsidRPr="000A7087">
        <w:rPr>
          <w:rFonts w:ascii="Arial" w:hAnsi="Arial" w:cs="Arial"/>
          <w:b/>
          <w:sz w:val="20"/>
          <w:szCs w:val="20"/>
        </w:rPr>
        <w:t>trana 1/</w:t>
      </w:r>
      <w:r w:rsidR="0026374C">
        <w:rPr>
          <w:rFonts w:ascii="Arial" w:hAnsi="Arial" w:cs="Arial"/>
          <w:b/>
          <w:sz w:val="20"/>
          <w:szCs w:val="20"/>
        </w:rPr>
        <w:t>2</w:t>
      </w:r>
      <w:r w:rsidR="00A26FCC" w:rsidRPr="000A7087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035"/>
        <w:gridCol w:w="2268"/>
      </w:tblGrid>
      <w:tr w:rsidR="005B36C2" w:rsidRPr="00E57933" w:rsidTr="007018F6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36C2" w:rsidRPr="00E57933" w:rsidRDefault="005B36C2" w:rsidP="007018F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:rsidR="005B36C2" w:rsidRPr="00E57933" w:rsidRDefault="005B36C2" w:rsidP="007018F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>
              <w:rPr>
                <w:rFonts w:ascii="Tahoma" w:hAnsi="Tahoma" w:cs="Tahoma"/>
                <w:noProof/>
                <w:color w:val="000080"/>
                <w:sz w:val="6"/>
                <w:szCs w:val="6"/>
                <w:lang w:eastAsia="sk-SK"/>
              </w:rPr>
              <w:drawing>
                <wp:inline distT="0" distB="0" distL="0" distR="0">
                  <wp:extent cx="845185" cy="793750"/>
                  <wp:effectExtent l="19050" t="0" r="0" b="0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</w:tcPr>
          <w:p w:rsidR="005B36C2" w:rsidRPr="00E57933" w:rsidRDefault="005B36C2" w:rsidP="007018F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5B36C2" w:rsidRPr="00E57933" w:rsidRDefault="005B36C2" w:rsidP="007018F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hadow/>
                <w:sz w:val="42"/>
                <w:szCs w:val="42"/>
              </w:rPr>
            </w:pPr>
            <w:r w:rsidRPr="00E57933">
              <w:rPr>
                <w:rFonts w:ascii="Calibri" w:hAnsi="Calibri" w:cs="Calibri"/>
                <w:b/>
                <w:bCs/>
                <w:shadow/>
                <w:sz w:val="42"/>
                <w:szCs w:val="42"/>
              </w:rPr>
              <w:t>KLUBOVÝ LICENČNÝ SYSTÉM SFZ</w:t>
            </w:r>
          </w:p>
          <w:p w:rsidR="005B36C2" w:rsidRPr="00E57933" w:rsidRDefault="005B36C2" w:rsidP="007018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Licenčné konanie – právne</w:t>
            </w: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kritériá, verzia 111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  <w:p w:rsidR="005B36C2" w:rsidRPr="00E57933" w:rsidRDefault="005B36C2" w:rsidP="007018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:rsidR="005B36C2" w:rsidRPr="00A400D7" w:rsidRDefault="005B36C2" w:rsidP="007018F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</w:rPr>
            </w:pPr>
            <w:r w:rsidRPr="00A400D7">
              <w:rPr>
                <w:rFonts w:ascii="Calibri" w:hAnsi="Calibri" w:cs="Calibri"/>
                <w:b/>
              </w:rPr>
              <w:t>Potvrdenie žiadateľa o udelenie licencie o </w:t>
            </w:r>
            <w:proofErr w:type="spellStart"/>
            <w:r w:rsidRPr="00A400D7">
              <w:rPr>
                <w:rFonts w:ascii="Calibri" w:hAnsi="Calibri" w:cs="Calibri"/>
                <w:b/>
              </w:rPr>
              <w:t>obdržaní</w:t>
            </w:r>
            <w:proofErr w:type="spellEnd"/>
            <w:r w:rsidRPr="00A400D7">
              <w:rPr>
                <w:rFonts w:ascii="Calibri" w:hAnsi="Calibri" w:cs="Calibri"/>
                <w:b/>
              </w:rPr>
              <w:t xml:space="preserve"> licenčnej dokumentácie – prihláška do licenčného </w:t>
            </w:r>
            <w:r>
              <w:rPr>
                <w:rFonts w:ascii="Calibri" w:hAnsi="Calibri" w:cs="Calibri"/>
                <w:b/>
              </w:rPr>
              <w:t>konania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6C2" w:rsidRPr="00E57933" w:rsidRDefault="005B36C2" w:rsidP="007018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36C2" w:rsidRPr="00E57933" w:rsidRDefault="005B36C2" w:rsidP="007018F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264285" cy="659765"/>
                  <wp:effectExtent l="19050" t="0" r="0" b="0"/>
                  <wp:docPr id="4" name="obrázek 2" descr="S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6CC" w:rsidRDefault="008856CC" w:rsidP="00A26FCC">
      <w:pPr>
        <w:widowControl w:val="0"/>
        <w:autoSpaceDE w:val="0"/>
        <w:autoSpaceDN w:val="0"/>
        <w:adjustRightInd w:val="0"/>
        <w:ind w:right="-18"/>
        <w:jc w:val="center"/>
        <w:rPr>
          <w:rFonts w:ascii="Arial" w:hAnsi="Arial" w:cs="Arial"/>
          <w:i/>
          <w:sz w:val="20"/>
          <w:szCs w:val="20"/>
        </w:rPr>
      </w:pPr>
    </w:p>
    <w:p w:rsidR="008856CC" w:rsidRDefault="008856CC" w:rsidP="008856C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1973"/>
        <w:gridCol w:w="2030"/>
        <w:gridCol w:w="3812"/>
      </w:tblGrid>
      <w:tr w:rsidR="008856CC" w:rsidRPr="00E57933" w:rsidTr="0026374C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856CC" w:rsidRPr="00E57933" w:rsidRDefault="008856CC" w:rsidP="007018F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8856CC" w:rsidRPr="00EB0435" w:rsidRDefault="007E57FE" w:rsidP="007018F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Black" w:hAnsi="Arial Black" w:cs="Arial"/>
                <w:sz w:val="12"/>
                <w:szCs w:val="12"/>
              </w:rPr>
            </w:pPr>
            <w:r w:rsidRPr="00EB0435">
              <w:rPr>
                <w:rFonts w:ascii="Arial Black" w:hAnsi="Arial Black" w:cs="Arial"/>
                <w:b/>
                <w:sz w:val="28"/>
                <w:szCs w:val="28"/>
              </w:rPr>
              <w:t>Predstavitelia futbalového</w:t>
            </w:r>
            <w:r w:rsidR="008856CC" w:rsidRPr="00EB0435">
              <w:rPr>
                <w:rFonts w:ascii="Arial Black" w:hAnsi="Arial Black" w:cs="Arial"/>
                <w:b/>
                <w:sz w:val="28"/>
                <w:szCs w:val="28"/>
              </w:rPr>
              <w:t xml:space="preserve"> klubu  </w:t>
            </w:r>
            <w:r w:rsidR="008856CC" w:rsidRPr="00EB0435">
              <w:rPr>
                <w:rFonts w:ascii="Arial Black" w:hAnsi="Arial Black"/>
              </w:rPr>
              <w:t xml:space="preserve"> </w:t>
            </w:r>
          </w:p>
          <w:p w:rsidR="008856CC" w:rsidRPr="00E57933" w:rsidRDefault="008856CC" w:rsidP="007018F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6CC" w:rsidRDefault="008856CC" w:rsidP="007018F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856CC" w:rsidRPr="00E57933" w:rsidRDefault="007E57FE" w:rsidP="007018F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zodpovední za prípravu licenčnej dokumentácie (kontaktné osoby)</w:t>
            </w:r>
          </w:p>
          <w:p w:rsidR="008856CC" w:rsidRDefault="008856CC" w:rsidP="007018F6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6CC" w:rsidRPr="00E57933" w:rsidRDefault="008856CC" w:rsidP="007018F6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7FE" w:rsidRPr="00743AC0" w:rsidTr="00EB0435"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:rsidR="007E57FE" w:rsidRPr="00743AC0" w:rsidRDefault="007E57FE" w:rsidP="007E57FE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43AC0">
              <w:rPr>
                <w:rFonts w:ascii="Arial" w:hAnsi="Arial" w:cs="Arial"/>
                <w:b/>
                <w:color w:val="FFFFFF"/>
                <w:sz w:val="22"/>
                <w:szCs w:val="22"/>
              </w:rPr>
              <w:t>Meno a priezvisko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:rsidR="007E57FE" w:rsidRPr="00743AC0" w:rsidRDefault="00EB0435" w:rsidP="00EB0435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43AC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Funkcia v klube 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:rsidR="007E57FE" w:rsidRPr="00743AC0" w:rsidRDefault="00EB0435" w:rsidP="00EB0435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43AC0">
              <w:rPr>
                <w:rFonts w:ascii="Arial" w:hAnsi="Arial" w:cs="Arial"/>
                <w:b/>
                <w:color w:val="FFFFFF"/>
                <w:sz w:val="22"/>
                <w:szCs w:val="22"/>
              </w:rPr>
              <w:t>Mobilný kontakt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:rsidR="007E57FE" w:rsidRPr="00743AC0" w:rsidRDefault="00EB0435" w:rsidP="00EB0435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43AC0">
              <w:rPr>
                <w:rFonts w:ascii="Arial" w:hAnsi="Arial" w:cs="Arial"/>
                <w:b/>
                <w:color w:val="FFFFFF"/>
                <w:sz w:val="22"/>
                <w:szCs w:val="22"/>
              </w:rPr>
              <w:t>Emailový kontakt</w:t>
            </w:r>
          </w:p>
        </w:tc>
      </w:tr>
      <w:tr w:rsidR="00743AC0" w:rsidTr="00EB0435">
        <w:tc>
          <w:tcPr>
            <w:tcW w:w="2108" w:type="dxa"/>
            <w:tcBorders>
              <w:top w:val="single" w:sz="12" w:space="0" w:color="auto"/>
              <w:left w:val="single" w:sz="12" w:space="0" w:color="auto"/>
            </w:tcBorders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3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3"/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4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4"/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5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5"/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6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6"/>
          </w:p>
        </w:tc>
      </w:tr>
      <w:tr w:rsidR="00743AC0" w:rsidTr="00EB0435">
        <w:tc>
          <w:tcPr>
            <w:tcW w:w="2108" w:type="dxa"/>
            <w:tcBorders>
              <w:left w:val="single" w:sz="12" w:space="0" w:color="auto"/>
            </w:tcBorders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7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7"/>
          </w:p>
        </w:tc>
        <w:tc>
          <w:tcPr>
            <w:tcW w:w="1973" w:type="dxa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8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8"/>
          </w:p>
        </w:tc>
        <w:tc>
          <w:tcPr>
            <w:tcW w:w="2030" w:type="dxa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9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9"/>
          </w:p>
        </w:tc>
        <w:tc>
          <w:tcPr>
            <w:tcW w:w="3812" w:type="dxa"/>
            <w:tcBorders>
              <w:right w:val="single" w:sz="12" w:space="0" w:color="auto"/>
            </w:tcBorders>
            <w:shd w:val="clear" w:color="auto" w:fill="auto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0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0"/>
          </w:p>
        </w:tc>
      </w:tr>
      <w:tr w:rsidR="00743AC0" w:rsidTr="00EB0435">
        <w:tc>
          <w:tcPr>
            <w:tcW w:w="2108" w:type="dxa"/>
            <w:tcBorders>
              <w:left w:val="single" w:sz="12" w:space="0" w:color="auto"/>
            </w:tcBorders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1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1"/>
          </w:p>
        </w:tc>
        <w:tc>
          <w:tcPr>
            <w:tcW w:w="1973" w:type="dxa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2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2"/>
          </w:p>
        </w:tc>
        <w:tc>
          <w:tcPr>
            <w:tcW w:w="2030" w:type="dxa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3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3"/>
          </w:p>
        </w:tc>
        <w:tc>
          <w:tcPr>
            <w:tcW w:w="3812" w:type="dxa"/>
            <w:tcBorders>
              <w:right w:val="single" w:sz="12" w:space="0" w:color="auto"/>
            </w:tcBorders>
            <w:shd w:val="clear" w:color="auto" w:fill="auto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4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4"/>
          </w:p>
        </w:tc>
      </w:tr>
      <w:tr w:rsidR="00743AC0" w:rsidTr="00EB0435">
        <w:tc>
          <w:tcPr>
            <w:tcW w:w="2108" w:type="dxa"/>
            <w:tcBorders>
              <w:left w:val="single" w:sz="12" w:space="0" w:color="auto"/>
            </w:tcBorders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5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5"/>
          </w:p>
        </w:tc>
        <w:tc>
          <w:tcPr>
            <w:tcW w:w="1973" w:type="dxa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6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6"/>
          </w:p>
        </w:tc>
        <w:tc>
          <w:tcPr>
            <w:tcW w:w="2030" w:type="dxa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7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7"/>
          </w:p>
        </w:tc>
        <w:tc>
          <w:tcPr>
            <w:tcW w:w="3812" w:type="dxa"/>
            <w:tcBorders>
              <w:right w:val="single" w:sz="12" w:space="0" w:color="auto"/>
            </w:tcBorders>
            <w:shd w:val="clear" w:color="auto" w:fill="auto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8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8"/>
          </w:p>
        </w:tc>
      </w:tr>
      <w:tr w:rsidR="00743AC0" w:rsidTr="00EB0435"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9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9"/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20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20"/>
          </w:p>
        </w:tc>
        <w:tc>
          <w:tcPr>
            <w:tcW w:w="2030" w:type="dxa"/>
            <w:tcBorders>
              <w:bottom w:val="single" w:sz="12" w:space="0" w:color="auto"/>
            </w:tcBorders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21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21"/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AC0" w:rsidRDefault="0026374C" w:rsidP="007018F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22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22"/>
          </w:p>
        </w:tc>
      </w:tr>
    </w:tbl>
    <w:p w:rsidR="008856CC" w:rsidRDefault="008856CC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986328" w:rsidRDefault="00986328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986328" w:rsidRDefault="00986328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743AC0" w:rsidRDefault="00743AC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743AC0" w:rsidRDefault="00743AC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743AC0" w:rsidRDefault="00743AC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743AC0" w:rsidRDefault="00743AC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743AC0" w:rsidRDefault="00743AC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743AC0" w:rsidRDefault="00743AC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574AB0" w:rsidRDefault="00574AB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574AB0" w:rsidRDefault="00574AB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574AB0" w:rsidRDefault="00574AB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574AB0" w:rsidRDefault="00574AB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574AB0" w:rsidRDefault="00574AB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574AB0" w:rsidRDefault="00574AB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743AC0" w:rsidRDefault="00743AC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26374C" w:rsidRDefault="0026374C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26374C" w:rsidRDefault="0026374C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26374C" w:rsidRDefault="0026374C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26374C" w:rsidRDefault="0026374C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26374C" w:rsidRDefault="0026374C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26374C" w:rsidRDefault="0026374C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574AB0" w:rsidRDefault="00574AB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743AC0" w:rsidRDefault="00743AC0" w:rsidP="00A26FCC">
      <w:pPr>
        <w:widowControl w:val="0"/>
        <w:autoSpaceDE w:val="0"/>
        <w:autoSpaceDN w:val="0"/>
        <w:adjustRightInd w:val="0"/>
        <w:ind w:right="-18"/>
        <w:jc w:val="center"/>
      </w:pPr>
    </w:p>
    <w:p w:rsidR="00986328" w:rsidRDefault="00986328" w:rsidP="0098632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46"/>
          <w:szCs w:val="46"/>
        </w:rPr>
      </w:pPr>
    </w:p>
    <w:p w:rsidR="00986328" w:rsidRDefault="00743AC0" w:rsidP="00A26FCC">
      <w:pPr>
        <w:widowControl w:val="0"/>
        <w:autoSpaceDE w:val="0"/>
        <w:autoSpaceDN w:val="0"/>
        <w:adjustRightInd w:val="0"/>
        <w:ind w:right="-18"/>
        <w:jc w:val="center"/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86328" w:rsidRPr="000A7087">
        <w:rPr>
          <w:rFonts w:ascii="Arial" w:hAnsi="Arial" w:cs="Arial"/>
          <w:b/>
          <w:sz w:val="20"/>
          <w:szCs w:val="20"/>
        </w:rPr>
        <w:t>SFZ</w:t>
      </w:r>
      <w:r w:rsidR="00986328" w:rsidRPr="000A7087">
        <w:rPr>
          <w:rFonts w:ascii="Arial" w:hAnsi="Arial" w:cs="Arial"/>
          <w:b/>
          <w:sz w:val="20"/>
          <w:szCs w:val="20"/>
        </w:rPr>
        <w:tab/>
      </w:r>
      <w:r w:rsidR="00986328" w:rsidRPr="000A7087">
        <w:rPr>
          <w:rFonts w:ascii="Arial" w:hAnsi="Arial" w:cs="Arial"/>
          <w:b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sz w:val="20"/>
          <w:szCs w:val="20"/>
        </w:rPr>
        <w:tab/>
      </w:r>
      <w:r w:rsidR="00986328">
        <w:rPr>
          <w:rFonts w:ascii="Arial" w:hAnsi="Arial" w:cs="Arial"/>
          <w:b/>
          <w:sz w:val="20"/>
          <w:szCs w:val="20"/>
        </w:rPr>
        <w:t xml:space="preserve">PRIHLÁŠKA DO </w:t>
      </w:r>
      <w:r w:rsidR="00986328" w:rsidRPr="000A7087">
        <w:rPr>
          <w:rFonts w:ascii="Arial" w:hAnsi="Arial" w:cs="Arial"/>
          <w:b/>
          <w:sz w:val="20"/>
          <w:szCs w:val="20"/>
        </w:rPr>
        <w:t>LICENČNÉ</w:t>
      </w:r>
      <w:r w:rsidR="00986328">
        <w:rPr>
          <w:rFonts w:ascii="Arial" w:hAnsi="Arial" w:cs="Arial"/>
          <w:b/>
          <w:sz w:val="20"/>
          <w:szCs w:val="20"/>
        </w:rPr>
        <w:t>HO KONANIA</w:t>
      </w:r>
      <w:r w:rsidR="00986328" w:rsidRPr="000A70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986328">
        <w:rPr>
          <w:rFonts w:ascii="Arial" w:hAnsi="Arial" w:cs="Arial"/>
          <w:b/>
          <w:sz w:val="20"/>
          <w:szCs w:val="20"/>
        </w:rPr>
        <w:t>s</w:t>
      </w:r>
      <w:r w:rsidR="00986328" w:rsidRPr="000A7087">
        <w:rPr>
          <w:rFonts w:ascii="Arial" w:hAnsi="Arial" w:cs="Arial"/>
          <w:b/>
          <w:sz w:val="20"/>
          <w:szCs w:val="20"/>
        </w:rPr>
        <w:t xml:space="preserve">trana </w:t>
      </w:r>
      <w:r w:rsidR="00986328">
        <w:rPr>
          <w:rFonts w:ascii="Arial" w:hAnsi="Arial" w:cs="Arial"/>
          <w:b/>
          <w:sz w:val="20"/>
          <w:szCs w:val="20"/>
        </w:rPr>
        <w:t>2/2</w:t>
      </w:r>
      <w:r w:rsidR="00986328" w:rsidRPr="000A7087">
        <w:rPr>
          <w:rFonts w:ascii="Arial" w:hAnsi="Arial" w:cs="Arial"/>
          <w:i/>
          <w:sz w:val="20"/>
          <w:szCs w:val="20"/>
        </w:rPr>
        <w:t xml:space="preserve"> </w:t>
      </w:r>
    </w:p>
    <w:sectPr w:rsidR="00986328" w:rsidSect="00A95248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2CA"/>
    <w:multiLevelType w:val="hybridMultilevel"/>
    <w:tmpl w:val="C5F00528"/>
    <w:lvl w:ilvl="0" w:tplc="2BA604E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1EA8"/>
    <w:multiLevelType w:val="hybridMultilevel"/>
    <w:tmpl w:val="50FAE952"/>
    <w:lvl w:ilvl="0" w:tplc="7B50369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248A"/>
    <w:multiLevelType w:val="hybridMultilevel"/>
    <w:tmpl w:val="EBBABE3C"/>
    <w:lvl w:ilvl="0" w:tplc="51189F9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mQ2ZKWKnCp8kxtdOyNaoDYgjauQ=" w:salt="hMjDDbtvGQ3tbTeyUxr+lg=="/>
  <w:defaultTabStop w:val="708"/>
  <w:hyphenationZone w:val="425"/>
  <w:drawingGridHorizontalSpacing w:val="110"/>
  <w:displayHorizontalDrawingGridEvery w:val="2"/>
  <w:characterSpacingControl w:val="doNotCompress"/>
  <w:compat/>
  <w:rsids>
    <w:rsidRoot w:val="00A26FCC"/>
    <w:rsid w:val="0026374C"/>
    <w:rsid w:val="004C1020"/>
    <w:rsid w:val="00574AB0"/>
    <w:rsid w:val="005B36C2"/>
    <w:rsid w:val="005D25F5"/>
    <w:rsid w:val="00743AC0"/>
    <w:rsid w:val="007E57FE"/>
    <w:rsid w:val="008856CC"/>
    <w:rsid w:val="00986328"/>
    <w:rsid w:val="00A26FCC"/>
    <w:rsid w:val="00A400D7"/>
    <w:rsid w:val="00EB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F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C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863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0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48D4-F056-4D4A-8BD7-DB6E8125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</dc:creator>
  <cp:lastModifiedBy>vojtek</cp:lastModifiedBy>
  <cp:revision>2</cp:revision>
  <dcterms:created xsi:type="dcterms:W3CDTF">2017-11-20T14:13:00Z</dcterms:created>
  <dcterms:modified xsi:type="dcterms:W3CDTF">2017-11-20T14:13:00Z</dcterms:modified>
</cp:coreProperties>
</file>